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 w:type="dxa"/>
        <w:tblCellMar>
          <w:left w:w="0" w:type="dxa"/>
          <w:right w:w="0" w:type="dxa"/>
        </w:tblCellMar>
        <w:tblLook w:val="04A0"/>
      </w:tblPr>
      <w:tblGrid>
        <w:gridCol w:w="4811"/>
        <w:gridCol w:w="4604"/>
      </w:tblGrid>
      <w:tr w:rsidR="00921AC9" w:rsidRPr="00921AC9" w:rsidTr="00921AC9">
        <w:tc>
          <w:tcPr>
            <w:tcW w:w="4832" w:type="dxa"/>
            <w:tcMar>
              <w:top w:w="0" w:type="dxa"/>
              <w:left w:w="108" w:type="dxa"/>
              <w:bottom w:w="0" w:type="dxa"/>
              <w:right w:w="108" w:type="dxa"/>
            </w:tcMar>
            <w:hideMark/>
          </w:tcPr>
          <w:p w:rsidR="00921AC9" w:rsidRPr="00921AC9" w:rsidRDefault="00921AC9" w:rsidP="00921AC9">
            <w:pPr>
              <w:spacing w:after="0" w:line="240" w:lineRule="auto"/>
              <w:jc w:val="center"/>
              <w:rPr>
                <w:rFonts w:eastAsia="Times New Roman" w:cs="Times New Roman"/>
                <w:sz w:val="24"/>
                <w:szCs w:val="24"/>
              </w:rPr>
            </w:pPr>
            <w:r w:rsidRPr="00921AC9">
              <w:rPr>
                <w:rFonts w:eastAsia="Times New Roman" w:cs="Times New Roman"/>
                <w:sz w:val="24"/>
                <w:szCs w:val="24"/>
              </w:rPr>
              <w:t>BAN CHẤP HÀNH TRUNG ƯƠNG</w:t>
            </w:r>
          </w:p>
          <w:p w:rsidR="00921AC9" w:rsidRPr="00921AC9" w:rsidRDefault="00921AC9" w:rsidP="00921AC9">
            <w:pPr>
              <w:spacing w:after="0" w:line="240" w:lineRule="auto"/>
              <w:jc w:val="center"/>
              <w:rPr>
                <w:rFonts w:eastAsia="Times New Roman" w:cs="Times New Roman"/>
                <w:sz w:val="24"/>
                <w:szCs w:val="24"/>
              </w:rPr>
            </w:pPr>
            <w:r w:rsidRPr="00921AC9">
              <w:rPr>
                <w:rFonts w:eastAsia="Times New Roman" w:cs="Times New Roman"/>
                <w:b/>
                <w:bCs/>
                <w:sz w:val="24"/>
                <w:szCs w:val="24"/>
              </w:rPr>
              <w:t>BAN TỔ CHỨC</w:t>
            </w:r>
          </w:p>
          <w:p w:rsidR="00921AC9" w:rsidRPr="00921AC9" w:rsidRDefault="00921AC9" w:rsidP="00921AC9">
            <w:pPr>
              <w:spacing w:after="0" w:line="240" w:lineRule="auto"/>
              <w:jc w:val="center"/>
              <w:rPr>
                <w:rFonts w:eastAsia="Times New Roman" w:cs="Times New Roman"/>
                <w:sz w:val="24"/>
                <w:szCs w:val="24"/>
              </w:rPr>
            </w:pPr>
            <w:r w:rsidRPr="00921AC9">
              <w:rPr>
                <w:rFonts w:eastAsia="Times New Roman" w:cs="Times New Roman"/>
                <w:sz w:val="24"/>
                <w:szCs w:val="24"/>
              </w:rPr>
              <w:t>*</w:t>
            </w:r>
          </w:p>
          <w:p w:rsidR="00921AC9" w:rsidRPr="00921AC9" w:rsidRDefault="00921AC9" w:rsidP="00921AC9">
            <w:pPr>
              <w:spacing w:before="100" w:beforeAutospacing="1" w:after="100" w:afterAutospacing="1" w:line="240" w:lineRule="auto"/>
              <w:jc w:val="center"/>
              <w:rPr>
                <w:rFonts w:eastAsia="Times New Roman" w:cs="Times New Roman"/>
                <w:sz w:val="24"/>
                <w:szCs w:val="24"/>
              </w:rPr>
            </w:pPr>
            <w:r w:rsidRPr="00921AC9">
              <w:rPr>
                <w:rFonts w:eastAsia="Times New Roman" w:cs="Times New Roman"/>
                <w:sz w:val="24"/>
                <w:szCs w:val="24"/>
              </w:rPr>
              <w:t>Số: 131-KH/BTCTW </w:t>
            </w:r>
          </w:p>
        </w:tc>
        <w:tc>
          <w:tcPr>
            <w:tcW w:w="4627" w:type="dxa"/>
            <w:tcMar>
              <w:top w:w="0" w:type="dxa"/>
              <w:left w:w="108" w:type="dxa"/>
              <w:bottom w:w="0" w:type="dxa"/>
              <w:right w:w="108" w:type="dxa"/>
            </w:tcMar>
            <w:hideMark/>
          </w:tcPr>
          <w:p w:rsidR="00921AC9" w:rsidRPr="00921AC9" w:rsidRDefault="00921AC9" w:rsidP="00921AC9">
            <w:pPr>
              <w:spacing w:before="100" w:beforeAutospacing="1" w:after="100" w:afterAutospacing="1" w:line="240" w:lineRule="auto"/>
              <w:jc w:val="center"/>
              <w:rPr>
                <w:rFonts w:eastAsia="Times New Roman" w:cs="Times New Roman"/>
                <w:sz w:val="24"/>
                <w:szCs w:val="24"/>
              </w:rPr>
            </w:pPr>
            <w:r w:rsidRPr="00921AC9">
              <w:rPr>
                <w:rFonts w:eastAsia="Times New Roman" w:cs="Times New Roman"/>
                <w:b/>
                <w:bCs/>
                <w:sz w:val="24"/>
                <w:szCs w:val="24"/>
              </w:rPr>
              <w:t>ĐẢNG CỘNG SẢN VIỆT NAM</w:t>
            </w:r>
          </w:p>
          <w:p w:rsidR="00921AC9" w:rsidRPr="00921AC9" w:rsidRDefault="00921AC9" w:rsidP="00921AC9">
            <w:pPr>
              <w:spacing w:before="100" w:beforeAutospacing="1" w:after="100" w:afterAutospacing="1" w:line="240" w:lineRule="auto"/>
              <w:jc w:val="right"/>
              <w:rPr>
                <w:rFonts w:eastAsia="Times New Roman" w:cs="Times New Roman"/>
                <w:sz w:val="24"/>
                <w:szCs w:val="24"/>
              </w:rPr>
            </w:pPr>
            <w:r w:rsidRPr="00921AC9">
              <w:rPr>
                <w:rFonts w:eastAsia="Times New Roman" w:cs="Times New Roman"/>
                <w:b/>
                <w:bCs/>
                <w:sz w:val="24"/>
                <w:szCs w:val="24"/>
              </w:rPr>
              <w:t> </w:t>
            </w:r>
            <w:r w:rsidRPr="00921AC9">
              <w:rPr>
                <w:rFonts w:eastAsia="Times New Roman" w:cs="Times New Roman"/>
                <w:i/>
                <w:iCs/>
                <w:sz w:val="24"/>
                <w:szCs w:val="24"/>
              </w:rPr>
              <w:t>Hà Nội, ngày 19 tháng 03 năm 2018</w:t>
            </w:r>
          </w:p>
        </w:tc>
      </w:tr>
    </w:tbl>
    <w:p w:rsidR="00921AC9" w:rsidRDefault="00921AC9" w:rsidP="00921AC9">
      <w:pPr>
        <w:spacing w:after="0" w:line="240" w:lineRule="auto"/>
        <w:ind w:right="-45"/>
        <w:jc w:val="center"/>
        <w:rPr>
          <w:rFonts w:eastAsia="Times New Roman" w:cs="Times New Roman"/>
          <w:b/>
          <w:bCs/>
          <w:color w:val="000711"/>
          <w:szCs w:val="28"/>
        </w:rPr>
      </w:pPr>
      <w:r w:rsidRPr="00921AC9">
        <w:rPr>
          <w:rFonts w:eastAsia="Times New Roman" w:cs="Times New Roman"/>
          <w:b/>
          <w:bCs/>
          <w:color w:val="000711"/>
          <w:sz w:val="24"/>
          <w:szCs w:val="24"/>
        </w:rPr>
        <w:br/>
      </w:r>
      <w:r w:rsidRPr="00921AC9">
        <w:rPr>
          <w:rFonts w:eastAsia="Times New Roman" w:cs="Times New Roman"/>
          <w:b/>
          <w:bCs/>
          <w:color w:val="000711"/>
          <w:szCs w:val="28"/>
        </w:rPr>
        <w:t>KẾ HOẠCH</w:t>
      </w:r>
      <w:r w:rsidRPr="00921AC9">
        <w:rPr>
          <w:rFonts w:eastAsia="Times New Roman" w:cs="Times New Roman"/>
          <w:b/>
          <w:bCs/>
          <w:color w:val="000711"/>
          <w:szCs w:val="28"/>
        </w:rPr>
        <w:br/>
        <w:t>          Tổ chức Giải báo chí toàn quốc về xây dựng Đảng (Giải Búa liềm vàng)</w:t>
      </w:r>
      <w:r>
        <w:rPr>
          <w:rFonts w:eastAsia="Times New Roman" w:cs="Times New Roman"/>
          <w:b/>
          <w:bCs/>
          <w:color w:val="000711"/>
          <w:szCs w:val="28"/>
        </w:rPr>
        <w:t xml:space="preserve"> </w:t>
      </w:r>
      <w:r w:rsidRPr="00921AC9">
        <w:rPr>
          <w:rFonts w:eastAsia="Times New Roman" w:cs="Times New Roman"/>
          <w:b/>
          <w:bCs/>
          <w:color w:val="000711"/>
          <w:szCs w:val="28"/>
        </w:rPr>
        <w:t>lần thứ III – năm 2018</w:t>
      </w:r>
    </w:p>
    <w:p w:rsidR="00921AC9" w:rsidRPr="00921AC9" w:rsidRDefault="00921AC9" w:rsidP="00921AC9">
      <w:pPr>
        <w:spacing w:after="0" w:line="240" w:lineRule="auto"/>
        <w:ind w:right="-45"/>
        <w:jc w:val="center"/>
        <w:rPr>
          <w:rFonts w:eastAsia="Times New Roman" w:cs="Times New Roman"/>
          <w:b/>
          <w:bCs/>
          <w:color w:val="000711"/>
          <w:szCs w:val="28"/>
        </w:rPr>
      </w:pP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 </w:t>
      </w:r>
      <w:r w:rsidRPr="00921AC9">
        <w:rPr>
          <w:rFonts w:eastAsia="Times New Roman" w:cs="Times New Roman"/>
          <w:color w:val="000711"/>
          <w:szCs w:val="28"/>
        </w:rPr>
        <w:t>Năm 2018, năm bản lề thực hiện Nghị quyết Đại hội lần thứ XII của Đảng; năm tiếp tục đẩy mạnh thực hiện Nghị quyết Trung ương 4 (khóa XI, XII) về xây dựng, chỉnh đốn Đảng và các nghị quyết Trung ương khóa XII với tinh thần tích cực, hiệu quả hơn. Công tác xây dựng, chỉnh đốn Đảng không chỉ là nhiệm vụ của cấp uỷ, tổ chức đảng các cấp mà cần có sự tham gia tích cực của cả hệ thống chính trị, của các tầng lớp nhân dân, trong đó báo chí có vai trò rất quan trọng.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Ngày 03-02-2018, Ban Tổ chức Trung ương chủ trì, phối hợp với Báo Nhân Dân, Tạp chí Cộng sản, Đài Truyền hình Việt Nam và Hội Nhà báo Việt Nam tổ chức Lễ công bố và trao Giải báo chí toàn quốc về xây dựng Đảng (Giải Búa liềm vàng) lần thứ II – năm 2017 và phát động Giải Búa liềm vàng lần thứ III – năm 2018. Trên cơ sở đánh giá công tác tổ chức Giải Búa liềm vàng lần thứ II – năm 2017, Ban Chỉ đạo Giải Búa liềm vàng xây dựng Kế hoạch tổ chức Giải Búa liềm vàng lần thứ III – năm 2018 nhằm thông qua việc tổ chức Giải tiếp tục nâng cao chất lượng công tác thông tin, tuyên truyền về xây dựng Đảng trên các phương tiện thông tin đại chúng.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I.</w:t>
      </w:r>
      <w:r w:rsidRPr="00921AC9">
        <w:rPr>
          <w:rFonts w:eastAsia="Times New Roman" w:cs="Times New Roman"/>
          <w:color w:val="000711"/>
          <w:szCs w:val="28"/>
        </w:rPr>
        <w:t> </w:t>
      </w:r>
      <w:r w:rsidRPr="00921AC9">
        <w:rPr>
          <w:rFonts w:eastAsia="Times New Roman" w:cs="Times New Roman"/>
          <w:b/>
          <w:bCs/>
          <w:color w:val="000711"/>
          <w:szCs w:val="28"/>
        </w:rPr>
        <w:t>MỤC ĐÍCH, YÊU CẦU</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1.</w:t>
      </w:r>
      <w:r w:rsidRPr="00921AC9">
        <w:rPr>
          <w:rFonts w:eastAsia="Times New Roman" w:cs="Times New Roman"/>
          <w:color w:val="000711"/>
          <w:szCs w:val="28"/>
        </w:rPr>
        <w:t> </w:t>
      </w:r>
      <w:r w:rsidRPr="00921AC9">
        <w:rPr>
          <w:rFonts w:eastAsia="Times New Roman" w:cs="Times New Roman"/>
          <w:b/>
          <w:bCs/>
          <w:color w:val="000711"/>
          <w:szCs w:val="28"/>
        </w:rPr>
        <w:t>Mục đích</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Tiếp tục khẳng định vị trí, vai trò cực kỳ quan trọng của</w:t>
      </w:r>
      <w:r w:rsidRPr="00921AC9">
        <w:rPr>
          <w:rFonts w:eastAsia="Times New Roman" w:cs="Times New Roman"/>
          <w:b/>
          <w:bCs/>
          <w:color w:val="000711"/>
          <w:szCs w:val="28"/>
        </w:rPr>
        <w:t> </w:t>
      </w:r>
      <w:r w:rsidRPr="00921AC9">
        <w:rPr>
          <w:rFonts w:eastAsia="Times New Roman" w:cs="Times New Roman"/>
          <w:color w:val="000711"/>
          <w:szCs w:val="28"/>
        </w:rPr>
        <w:t>công tác xây dựng Đảng. Từ đó, tạo sự quan tâm hơn nữa của cán bộ, đảng viên trong hệ thống chính trị và toàn xã hội đối với công tác xây dựng Đảng, xây dựng hệ thống chính trị.</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Nâng cao hơn nữa nhận thức của cán bộ, phóng viên, biên tập viên các cơ quan báo chí và thu hút sự quan tâm của toàn xã hội trong việc viết, sáng tác tác phẩm về xây dựng Đảng.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Động viên, khuyến khích ngày càng có nhiều tác phẩm báo chí xuất sắc; từ đó, tạo động lực thúc đẩy việc tiếp tục nâng cao chất lượng tuyên truyền công tác xây dựng Đảng, góp phần xây dựng Đảng trong sạch, vững mạnh; không ngừng nâng cao chất lượng đội ngũ cán bộ, đảng viên; đổi mới phương thức lãnh đạo, nâng cao năng lực cầm quyền của Đảng và chất lượng hoạt động của cả hệ thống chính trị.</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xml:space="preserve"> - Tiếp tục phát huy vai trò của các cơ quan báo chí, cán bộ, đảng viên và nhân dân góp ý kiến xây dựng Đảng, xây dựng chính quyền; tham gia phòng, chống suy thoái tư tưởng chính trị, đạo đức, lối sống và những biểu hiện “tự </w:t>
      </w:r>
      <w:r w:rsidRPr="00921AC9">
        <w:rPr>
          <w:rFonts w:eastAsia="Times New Roman" w:cs="Times New Roman"/>
          <w:color w:val="000711"/>
          <w:szCs w:val="28"/>
        </w:rPr>
        <w:lastRenderedPageBreak/>
        <w:t>diễn biến”, “tự chuyển hóa” trong nội bộ; củng cố, tăng cường mối quan hệ máu thịt giữa Đảng với Nhân dân.</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Thông qua Giải Búa liềm vàng lần thứ III – năm 2018 cổ vũ toàn Đảng, toàn dân, toàn quân ra sức thi đua thực hiện Nghị quyết Đại hội lần thứ XII của Đảng, cùng các chỉ thị, kết luận của Trung ương Đảng và nghị quyết các hội nghị Trung ương khóa XII về xây dựng Đảng ngày càng đi vào thực chất, trở thành hành động cụ thể, thiết thực, thường xuyên và tự giác trong mỗi cán bộ, đảng viên và nhân dân.</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2. Yêu cầu</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Lựa chọn được những tác phẩm báo chí xuất sắc nhất, những cơ quan báo chí và ban tổ chức, ban tuyên giáo cấp ủy có nhiều đóng góp trong tuyên truyền về công tác xây dựng Đảng và tổ chức Giải Búa liềm vàng để trao giải, tôn vinh tác giả, tác phẩm và tập thể, cá nhân tiêu biểu.</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Thông qua các tác phẩm báo chí tham dự Giải Búa liềm vàng giúp cho cán bộ, đảng viên và nhân dân nhận thức sâu sắc thêm về Đảng và công tác xây dựng Đảng, xây dựng hệ thống chính trị; tiếp tục nâng cao chất lượng, hiệu quả tổ chức Giải Búa liềm vàng để phát hiện, phòng ngừa, đấu tranh chống tiêu cực, tham nhũng trong công tác tổ chức – cán bộ và quản lý đội ngũ cán bộ.</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Nâng cao chất lượng tuyên truyền về xây dựng Đảng trên các phương tiện thông tin đại chúng theo hướng kết hợp giữa “xây” và “chống”, trong đó lấy “xây” là cơ bản, chiến lược, lâu dài, lấy “chống” là nhiệm vụ quan trọng, cấp bách; coi trọng cả “đức trị” và “pháp trị”, nhưng đề cao “pháp trị”. Thực hiện tốt phương châm “Lấy tích cực đẩy lùi tiêu cực”, “lấy cái đẹp dẹp cái xấu”. Qua đó, tạo hiệu ứng tác động lan tỏa trong các cơ quan báo chí và toàn xã hội.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Để có nhiều tác phẩm báo chí tham dự Giải Búa liềm vàng lần thứ III – năm 2018 có chất lượng và tham gia xây dựng Đảng hiệu quả, mỗi cơ quan báo chí, mỗi người làm báo cần hiểu đúng chủ trương của Đảng về công tác xây dựng Đảng, chủ động, tích cực bám sát thực tế cơ sở để kịp thời phản ánh kết quả công tác xây dựng, chỉnh đốn Đảng ở các địa phương, đơn vị. Trên cơ sở đó phát hiện cách làm hay, mô hình tốt để biểu dương và đấu tranh phê phán những khuyết điểm, vi phạm, những vấn đề còn hạn chế, tồn tại.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II. NỘI DUNG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1. Tên giải thưởng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Tiếp tục sử dụng tên giải thưởng là: Giải báo chí toàn quốc về xây dựng Đảng (mang tên </w:t>
      </w:r>
      <w:r w:rsidRPr="00921AC9">
        <w:rPr>
          <w:rFonts w:eastAsia="Times New Roman" w:cs="Times New Roman"/>
          <w:b/>
          <w:bCs/>
          <w:color w:val="000711"/>
          <w:szCs w:val="28"/>
        </w:rPr>
        <w:t>Búa liềm vàng).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2. Đơn vị chủ trì tổ chức Giải: </w:t>
      </w:r>
      <w:r w:rsidRPr="00921AC9">
        <w:rPr>
          <w:rFonts w:eastAsia="Times New Roman" w:cs="Times New Roman"/>
          <w:color w:val="000711"/>
          <w:szCs w:val="28"/>
        </w:rPr>
        <w:t>Ban Tổ chức Trung ương, Báo Nhân Dân, Tạp chí Cộng sản, Đài Truyền hình Việt Nam và Hội Nhà báo Việt Nam.</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3. Nội dung triển khai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xml:space="preserve">Giải được tuyển chọn và trao cho các tác giả (nhóm tác giả), tác phẩm báo chí xuất sắc viết về xây dựng Đảng trên các mặt: chính trị, tư tưởng, tổ chức, đạo đức, thuộc các lĩnh vực công tác tổ chức, tuyên giáo, kiểm tra, dân vận, đối ngoại, phòng, chống tham nhũng... được đăng, phát trên các loại hình báo chí do Bộ Văn hóa – Thông tin trước đây và Bộ Thông tin – Truyền thông </w:t>
      </w:r>
      <w:r w:rsidRPr="00921AC9">
        <w:rPr>
          <w:rFonts w:eastAsia="Times New Roman" w:cs="Times New Roman"/>
          <w:color w:val="000711"/>
          <w:szCs w:val="28"/>
        </w:rPr>
        <w:lastRenderedPageBreak/>
        <w:t>hiện nay cấp phép. Giải cũng dành để trao cho các cơ quan báo chí và ban tuyên giáo, ban tổ chức cấp ủy tiêu biểu trong tuyên truyền về công tác xây dựng Đảng và tổ chức Giải Búa liềm vàng trên phạm vi toàn quốc.</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4. Đối tượng tham dự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Về tác giả: Mọi người Việt Nam ở trong nước và ngoài nước có tác phẩm báo chí được đăng, phát trên các loại hình báo chí (báo in, báo điện tử, phát thanh, truyền hình,..). Tác giả dự giải không vi phạm các quy định về đạo đức nghề nghiệp của người làm báo Việt Nam, không vi phạm Luật Báo chí và các luật khác hiện hành.</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Về tác phẩm: Là các tác phẩm báo chí thuộc tất cả các thể loại viết về xây dựng Đảng đã đăng, phát trên các loại hình báo chí: Báo in; phát thanh; truyền hình; báo điện tử; ảnh báo chí.</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Những tác phẩm được sử dụng trong thời gian xét giải đã được trao thưởng ở các cuộc thi của địa phương vẫn được quyền dự Giải báo chí toàn quốc về xây dựng Đảng, nhưng cần ghi rõ mức giải và do cơ quan nào tổ chức. </w:t>
      </w:r>
      <w:r w:rsidRPr="00921AC9">
        <w:rPr>
          <w:rFonts w:eastAsia="Times New Roman" w:cs="Times New Roman"/>
          <w:i/>
          <w:iCs/>
          <w:color w:val="000711"/>
          <w:szCs w:val="28"/>
        </w:rPr>
        <w:t>Không nhận các tác phẩm đã tham dự Giải báo chí quốc gia và các giải báo chí ngành hoặc liên ngành ở Trung ương.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Các cơ quan báo chí tổ chức bài bản, sáng tạo việc hưởng ứng tham gia Giải Búa liềm vàng; động viên được nhiều phóng viên, nhà báo tham gia viết về công tác xây dựng Đảng và tuyển chọn được nhiều tác phẩm có chất lượng, bảo đảm số lượng tham dự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Các ban tuyên giáo, ban tổ chức cấp ủy làm tốt công tác tham mưu cho ban thường vụ cấp ủy chỉ đạo các cơ quan báo chí trong phạm vi quản lý triển khai sáng tạo, có hiệu quả Giải Búa liềm vàng tại địa phương, đơn vị; chủ trì, phối hợp với các cơ quan, đơn vị có liên quan gợi ý, hướng dẫn các nội dung mới, vấn đề khó, kết quả nổi bật để các cơ quan báo chí bám sát thực tiễn sinh động sáng tác các tác phẩm báo chí có chất lượng, phục vụ có hiệu quả công tác xây dựng Đảng.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5. Thời gian tác phẩm dự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Thời gian đăng, phát tác phẩm được tính từ ngày 01-11-2017 đến 31-10-2018. Thời hạn cuối cùng nhận tác phẩm là ngày 10-11-2018 (theo dấu bưu điện).</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III. BAN CHỈ ĐẠO, BAN TỔ CHỨC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1. Thành phần Ban Chỉ đạo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Bao gồm các đồng chí lãnh đạo Ban Tổ chức Trung ương, Báo Nhân Dân, Đài Truyền hình Việt Nam, Tạp chí Cộng sản, Ban Tuyên giáo Trung ương, Bộ Thông tin - Truyền thông và Hội Nhà báo Việt Nam, do đồng chí Trưởng Ban Tổ chức Trung ương làm Trưởng Ban Chỉ đạo.</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 2. Thành phần Ban Tổ chức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xml:space="preserve">Bao gồm các đồng chí lãnh đạo cơ quan và một số đơn vị thuộc Ban Tổ chức Trung ương, Báo Nhân Dân, Đài Truyền hình Việt Nam, Tạp chí Cộng sản, Ban Tuyên giáo Trung ương, Bộ Thông tin - Truyền thông và Hội Nhà báo </w:t>
      </w:r>
      <w:r w:rsidRPr="00921AC9">
        <w:rPr>
          <w:rFonts w:eastAsia="Times New Roman" w:cs="Times New Roman"/>
          <w:color w:val="000711"/>
          <w:szCs w:val="28"/>
        </w:rPr>
        <w:lastRenderedPageBreak/>
        <w:t>Việt Nam, do đồng chí Phó Trưởng Ban Tổ chức Trung ương làm Trưởng Ban Tổ chức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Ban Tổ chức Giải được sử dụng con dấu của Ban Tổ chức Trung ương trong quá trình hoạt động.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3. Cơ quan Thường trực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Tạp chí Xây dựng Đảng thuộc Ban Tổ chức Trung ương là cơ quan Thường trực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IV. SỐ LƯỢNG, GIÁ TRỊ GIẢI THƯỞNG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1. Số lượng giải thưởng: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Về tác phẩm: Có 1 giải Đặc biệt, 5 giải A, 10 giải B, 15 giải C và 25 giải Khuyến khích.</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Về cơ quan báo chí: Có 15 giải đồng hạng </w:t>
      </w:r>
      <w:r w:rsidRPr="00921AC9">
        <w:rPr>
          <w:rFonts w:eastAsia="Times New Roman" w:cs="Times New Roman"/>
          <w:b/>
          <w:bCs/>
          <w:color w:val="000711"/>
          <w:szCs w:val="28"/>
        </w:rPr>
        <w:t>Xuất sắc</w:t>
      </w:r>
      <w:r w:rsidRPr="00921AC9">
        <w:rPr>
          <w:rFonts w:eastAsia="Times New Roman" w:cs="Times New Roman"/>
          <w:color w:val="000711"/>
          <w:szCs w:val="28"/>
        </w:rPr>
        <w:t> cho các cơ quan báo chí và ban tuyên giáo, ban tổ chức cấp ủy tiêu biểu.</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2. Giá trị giải thưởng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Đặc biệt: 300.000.000đ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A: 100.000.000đ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B: 75.000.000đ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C: 50.000.000đ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cho tác phẩm xuất sắc phát triển lý luận về xây dựng Đảng:  50.000.000đ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cho tác phẩm xuất sắc của tác giả cao tuổi: 50.000.000đ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cho tác phẩm xuất sắc của tác giả trẻ tuổi: 50.000.000đ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cho tác phẩm xuất sắc của tác giả là công dân Việt Nam ở nước ngoài: 50.000.000đ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Khuyến khích: 30.000.000đ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Giải tập thể Xuất sắc: 30.000.000đ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Tiền thưởng các tác phẩm vào chung khảo: 5.000.000đ</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3. Hình thức khen thưởng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 </w:t>
      </w:r>
      <w:r w:rsidRPr="00921AC9">
        <w:rPr>
          <w:rFonts w:eastAsia="Times New Roman" w:cs="Times New Roman"/>
          <w:color w:val="000711"/>
          <w:szCs w:val="28"/>
        </w:rPr>
        <w:t>Đối với tác giả, tác phẩm đoạt giải: Tặng tiền thưởng, giấy chứng nhận của Ban Tổ chức Giải kèm theo biểu trưng </w:t>
      </w:r>
      <w:r w:rsidRPr="00921AC9">
        <w:rPr>
          <w:rFonts w:eastAsia="Times New Roman" w:cs="Times New Roman"/>
          <w:b/>
          <w:bCs/>
          <w:color w:val="000711"/>
          <w:szCs w:val="28"/>
        </w:rPr>
        <w:t>Búa liềm vàng</w:t>
      </w:r>
      <w:r w:rsidRPr="00921AC9">
        <w:rPr>
          <w:rFonts w:eastAsia="Times New Roman" w:cs="Times New Roman"/>
          <w:color w:val="000711"/>
          <w:szCs w:val="28"/>
        </w:rPr>
        <w:t>.</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 </w:t>
      </w:r>
      <w:r w:rsidRPr="00921AC9">
        <w:rPr>
          <w:rFonts w:eastAsia="Times New Roman" w:cs="Times New Roman"/>
          <w:color w:val="000711"/>
          <w:szCs w:val="28"/>
        </w:rPr>
        <w:t>Đối với tác giả có tác phẩm vào chung khảo: Tặng tiền thưởng, giấy chứng nhận của Ban Tổ chức Giải kèm theo hiện vật lưu niệm </w:t>
      </w:r>
      <w:r w:rsidRPr="00921AC9">
        <w:rPr>
          <w:rFonts w:eastAsia="Times New Roman" w:cs="Times New Roman"/>
          <w:b/>
          <w:bCs/>
          <w:color w:val="000711"/>
          <w:szCs w:val="28"/>
        </w:rPr>
        <w:t>Búa liềm vàng</w:t>
      </w:r>
      <w:r w:rsidRPr="00921AC9">
        <w:rPr>
          <w:rFonts w:eastAsia="Times New Roman" w:cs="Times New Roman"/>
          <w:color w:val="000711"/>
          <w:szCs w:val="28"/>
        </w:rPr>
        <w:t>.</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 </w:t>
      </w:r>
      <w:r w:rsidRPr="00921AC9">
        <w:rPr>
          <w:rFonts w:eastAsia="Times New Roman" w:cs="Times New Roman"/>
          <w:color w:val="000711"/>
          <w:szCs w:val="28"/>
        </w:rPr>
        <w:t>Đối với cơ quan báo chí tiêu biểu: Tặng tiền thưởng kèm theo biểu trưng </w:t>
      </w:r>
      <w:r w:rsidRPr="00921AC9">
        <w:rPr>
          <w:rFonts w:eastAsia="Times New Roman" w:cs="Times New Roman"/>
          <w:b/>
          <w:bCs/>
          <w:color w:val="000711"/>
          <w:szCs w:val="28"/>
        </w:rPr>
        <w:t>Búa liềm vàng </w:t>
      </w:r>
      <w:r w:rsidRPr="00921AC9">
        <w:rPr>
          <w:rFonts w:eastAsia="Times New Roman" w:cs="Times New Roman"/>
          <w:color w:val="000711"/>
          <w:szCs w:val="28"/>
        </w:rPr>
        <w:t>và Bằng khen của Ban Tổ chức Trung ương.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V. TỔ CHỨC THỰC HIỆN</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1. Thống nhất các nội dung công việc và phân công trách nhiệm</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 </w:t>
      </w:r>
      <w:r w:rsidRPr="00921AC9">
        <w:rPr>
          <w:rFonts w:eastAsia="Times New Roman" w:cs="Times New Roman"/>
          <w:color w:val="000711"/>
          <w:szCs w:val="28"/>
        </w:rPr>
        <w:t>Ban Tổ chức Trung ương, Báo Nhân Dân, Tạp chí Cộng sản, Đài Tuyền hình Việt Nam và Hội Nhà báo Việt Nam phối hợp với Ban Tuyên giáo Trung ương, Bộ Thông tin - Truyền thông tổ chức họp, thống nhất các nội dung công việc và phân công nhiệm vụ cụ thể từ khi phát động đến khi công bố và trao Giải Búa liềm vàng lần thứ III – năm 2018.</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xml:space="preserve">+ Ban Chỉ đạo Giải gửi công văn đề nghị Thường trực các tỉnh, thành ủy, ban cán sự đảng, đảng đoàn, đảng ủy trực thuộc Trung ương chỉ đạo các cơ </w:t>
      </w:r>
      <w:r w:rsidRPr="00921AC9">
        <w:rPr>
          <w:rFonts w:eastAsia="Times New Roman" w:cs="Times New Roman"/>
          <w:color w:val="000711"/>
          <w:szCs w:val="28"/>
        </w:rPr>
        <w:lastRenderedPageBreak/>
        <w:t>quan báo chí trong phạm vi quản lý tích cực hưởng ứng Giải Búa liềm vàng lần thứ III – năm 2018. Qua đó định hướng thông tin, dư luận vào những vấn đề mới, được dư luận quan tâm liên quan công tác tổ chức xây dựng Đảng; chống tham nhũng, lãng phí, tiêu cực, chạy chức, chạy quyền; tích cực tuyên truyền những mô hình mới, cách làm hay, gương sáng điển hình trong công tác xây dựng Đảng. Đồng thời, phản ánh những mặt hạn chế, yếu kém để rút kinh nghiệm, kịp thời chấn chỉnh. Các tác phẩm tham dự Giải Búa liềm vàng cần bám sát thực tiễn công tác xây dựng Đảng ở mọi miền, lĩnh vực, phản ánh sinh động kết quả thực hiện Cương lĩnh, đường lối của Đảng trong công tác xây dựng Đảng, tập trung vào kết quả thực hiện Nghị quyết Đại hội XII, nhất là Nghị quyết Trung ương 4, 5, 6 và 7 khóa XII; cổ vũ, tuyên truyền kịp thời kết quả xây dựng tổ chức bộ máy của hệ thống chính trị tinh gọn, hoạt động hiệu lực, hiệu quả; xây dựng đội ngũ cán bộ vừa có đức, vừa có tài, ngang tầm với yêu cầu, nhiệm vụ trong tình hình mới; phục vụ có hiệu quả mục tiêu phát triển kinh tế là trung tâm, xây dựng Đảng là then chốt, phát triển nền văn hóa là nền tảng tinh thần của xã hội; bảo đảm vững chắc an ninh - quốc phòng và mở rộng quan hệ quốc tế ở tầm mức sâu rộng…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Hội Nhà báo Việt Nam gửi công văn đến các hội nhà báo tỉnh, thành phố, liên chi hội, chi hội trực thuộc Trung ương và các cơ quan báo chí giới thiệu, vận động và hướng dẫn các hội viên viết, sáng tác và gửi tác phẩm tham dự Giải Búa liềm vàng lần thứ III – năm 2018.</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2. Thành lập Hội đồng chấm Giải, ban hành Thể lệ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Ban hành kèm theo Kế hoạch này Thể lệ Giải báo chí toàn quốc về xây dựng Đảng (sửa đổi, bổ sung) làm căn cứ xét chọn tác phẩm xuất sắc và cơ quan báo chí tiêu biểu để trao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Trên cơ sở đề xuất của cơ quan Thường trực Giải (Tạp chí Xây dựng Đảng), Ban Tổ chức giải ra quyết định thành lập Hội đồng chấm giải (gồm Hội đồng Chung khảo và Hội đồng Sơ khảo), Ban Thư ký và Tổ giúp việc. Số lượng, cơ cấu Hội đồng Chung khảo và Hội đồng Sơ khảo phải bảo đảm tính khách quan, toàn diện, chuyên sâu, đáp ứng được yêu cầu về chất lượng và thời gian chấm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3. Xét chọn sơ khảo</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Vòng Sơ khảo tác phẩm báo chí sẽ tiến hành từ tháng 11 đến hết tháng 12-2018. Các tác phẩm báo chí đã đăng gửi tham dự giải theo quy định sẽ được Hội đồng Sơ khảo xem xét, đánh giá để chọn ra tác phẩm báo chí đáp ứng tiêu chí xét trao giải đưa vào vòng chung khảo.</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4. Xét chọn chung khảo</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xml:space="preserve">Vòng chung khảo tác phẩm báo chí về xây dựng Đảng tiến hành từ ngày 01 đến 15-01-2019. Hội đồng Chung khảo dựa trên kết quả tuyển chọn của Hội đồng Sơ khảo sẽ tiến hành đánh giá, thẩm định, lựa chọn ra những tác phẩm xuất sắc nhất trình Ban Tổ chức và Ban Chỉ đạo Giải quyết định tác phẩm đoạt giải và các đơn vị được khen thưởng. Việc lựa chọn tác phẩm xuất sắc để trao </w:t>
      </w:r>
      <w:r w:rsidRPr="00921AC9">
        <w:rPr>
          <w:rFonts w:eastAsia="Times New Roman" w:cs="Times New Roman"/>
          <w:color w:val="000711"/>
          <w:szCs w:val="28"/>
        </w:rPr>
        <w:lastRenderedPageBreak/>
        <w:t>thưởng không nhất thiết mỗi loại hình báo chí phải xét đủ số lượng các giải Đặc biệt, A, B, C và Khuyến khích theo cơ cấu giải thưởng.</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5. Công bố và trao giải</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 Lễ công bố và trao Giải Búa liềm vàng lần thứ III – năm 2018 được tổ chức tại Hà Nội </w:t>
      </w:r>
      <w:r w:rsidRPr="00921AC9">
        <w:rPr>
          <w:rFonts w:eastAsia="Times New Roman" w:cs="Times New Roman"/>
          <w:i/>
          <w:iCs/>
          <w:color w:val="000711"/>
          <w:szCs w:val="28"/>
        </w:rPr>
        <w:t>nhân dịp kỷ niệm 89 năm Ngày thành lập Đảng 3-2</w:t>
      </w:r>
      <w:r w:rsidRPr="00921AC9">
        <w:rPr>
          <w:rFonts w:eastAsia="Times New Roman" w:cs="Times New Roman"/>
          <w:color w:val="000711"/>
          <w:szCs w:val="28"/>
        </w:rPr>
        <w:t>. Buổi lễ trao giải sẽ được truyền hình trực tiếp trên sóng Đài Truyền hình Việt Nam (VTV1).</w:t>
      </w:r>
    </w:p>
    <w:p w:rsidR="00921AC9" w:rsidRP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b/>
          <w:bCs/>
          <w:color w:val="000711"/>
          <w:szCs w:val="28"/>
        </w:rPr>
        <w:t>6. Kinh phí hỗ trợ Giải</w:t>
      </w:r>
    </w:p>
    <w:p w:rsidR="00921AC9" w:rsidRDefault="00921AC9" w:rsidP="00921AC9">
      <w:pPr>
        <w:spacing w:after="0" w:line="240" w:lineRule="auto"/>
        <w:ind w:firstLine="720"/>
        <w:jc w:val="both"/>
        <w:rPr>
          <w:rFonts w:eastAsia="Times New Roman" w:cs="Times New Roman"/>
          <w:color w:val="000711"/>
          <w:szCs w:val="28"/>
        </w:rPr>
      </w:pPr>
      <w:r w:rsidRPr="00921AC9">
        <w:rPr>
          <w:rFonts w:eastAsia="Times New Roman" w:cs="Times New Roman"/>
          <w:color w:val="000711"/>
          <w:szCs w:val="28"/>
        </w:rPr>
        <w:t>Kinh phí hoạt động Giải báo chí toàn quốc về xây dựng Đảng</w:t>
      </w:r>
      <w:r w:rsidRPr="00921AC9">
        <w:rPr>
          <w:rFonts w:eastAsia="Times New Roman" w:cs="Times New Roman"/>
          <w:i/>
          <w:iCs/>
          <w:color w:val="000711"/>
          <w:szCs w:val="28"/>
        </w:rPr>
        <w:t> </w:t>
      </w:r>
      <w:r w:rsidRPr="00921AC9">
        <w:rPr>
          <w:rFonts w:eastAsia="Times New Roman" w:cs="Times New Roman"/>
          <w:color w:val="000711"/>
          <w:szCs w:val="28"/>
        </w:rPr>
        <w:t>do hoạt động tài trợ, hỗ trợ, quảng bá thương hiệu tự nguyện, hợp pháp của các doanh nghiệp, đơn vị, không huy động kinh phí dưới mọi hình thức đối với cá nhân, tổ chức trong danh sách tham dự giải. Việc thông tin quảng cáo bảo đảm quyền lợi cho các nhà tài trợ sẽ do Đài Truyền hình Việt Nam, Báo Nhân Dân, Tạp chí Cộng sản, Tạp chí Xây dựng Đảng của Ban Tổ chức Trung ương và các báo, tạp chí thuộc Hội Nhà báo Việt Nam cùng phối hợp thực hiện. Các khoản kinh phí tài trợ, hỗ trợ, quảng bá thương hiệu trên sẽ chuyển về tài khoản của Giải Búa liềm vàng; được sử dụng đúng quy định về tài chính hiện hành trong toàn bộ quá trình vận hành chấm xét, tôn vinh và trao giải. Cơ quan Thường trực giải căn cứ vào thực tế phát sinh, Quy chế quản lý và sử dụng kinh phí tổ chức Giải Búa liềm vàng để đề xuất với Ban Tổ chức Giải việc thu chi cụ thể, hằng năm báo cáo công khai tài chính gửi đến các đơn vị đồng tổ chức Giải./.</w:t>
      </w:r>
    </w:p>
    <w:p w:rsidR="00921AC9" w:rsidRDefault="00921AC9" w:rsidP="00921AC9">
      <w:pPr>
        <w:spacing w:after="0" w:line="240" w:lineRule="auto"/>
        <w:ind w:firstLine="720"/>
        <w:jc w:val="both"/>
        <w:rPr>
          <w:rFonts w:eastAsia="Times New Roman" w:cs="Times New Roman"/>
          <w:color w:val="000711"/>
          <w:szCs w:val="28"/>
        </w:rPr>
      </w:pPr>
    </w:p>
    <w:p w:rsidR="00921AC9" w:rsidRPr="00921AC9" w:rsidRDefault="00921AC9" w:rsidP="00921AC9">
      <w:pPr>
        <w:spacing w:after="0" w:line="240" w:lineRule="auto"/>
        <w:ind w:firstLine="720"/>
        <w:jc w:val="both"/>
        <w:rPr>
          <w:rFonts w:eastAsia="Times New Roman" w:cs="Times New Roman"/>
          <w:color w:val="000711"/>
          <w:szCs w:val="28"/>
        </w:rPr>
      </w:pPr>
    </w:p>
    <w:tbl>
      <w:tblPr>
        <w:tblW w:w="9248" w:type="dxa"/>
        <w:tblInd w:w="108" w:type="dxa"/>
        <w:tblCellMar>
          <w:left w:w="0" w:type="dxa"/>
          <w:right w:w="0" w:type="dxa"/>
        </w:tblCellMar>
        <w:tblLook w:val="04A0"/>
      </w:tblPr>
      <w:tblGrid>
        <w:gridCol w:w="60"/>
        <w:gridCol w:w="4980"/>
        <w:gridCol w:w="705"/>
        <w:gridCol w:w="3219"/>
        <w:gridCol w:w="284"/>
      </w:tblGrid>
      <w:tr w:rsidR="00921AC9" w:rsidRPr="00921AC9" w:rsidTr="00921AC9">
        <w:trPr>
          <w:trHeight w:val="1747"/>
        </w:trPr>
        <w:tc>
          <w:tcPr>
            <w:tcW w:w="60" w:type="dxa"/>
            <w:tcBorders>
              <w:top w:val="nil"/>
              <w:left w:val="nil"/>
              <w:bottom w:val="nil"/>
              <w:right w:val="nil"/>
            </w:tcBorders>
            <w:vAlign w:val="center"/>
            <w:hideMark/>
          </w:tcPr>
          <w:p w:rsidR="00921AC9" w:rsidRPr="00921AC9" w:rsidRDefault="00921AC9" w:rsidP="00921AC9">
            <w:pPr>
              <w:spacing w:before="100" w:beforeAutospacing="1" w:after="100" w:afterAutospacing="1" w:line="240" w:lineRule="auto"/>
              <w:rPr>
                <w:rFonts w:eastAsia="Times New Roman" w:cs="Times New Roman"/>
                <w:sz w:val="24"/>
                <w:szCs w:val="24"/>
              </w:rPr>
            </w:pPr>
            <w:r w:rsidRPr="00921AC9">
              <w:rPr>
                <w:rFonts w:eastAsia="Times New Roman" w:cs="Times New Roman"/>
                <w:sz w:val="24"/>
                <w:szCs w:val="24"/>
              </w:rPr>
              <w:t> </w:t>
            </w:r>
          </w:p>
        </w:tc>
        <w:tc>
          <w:tcPr>
            <w:tcW w:w="4980" w:type="dxa"/>
            <w:tcMar>
              <w:top w:w="0" w:type="dxa"/>
              <w:left w:w="108" w:type="dxa"/>
              <w:bottom w:w="0" w:type="dxa"/>
              <w:right w:w="108" w:type="dxa"/>
            </w:tcMar>
            <w:hideMark/>
          </w:tcPr>
          <w:p w:rsidR="00921AC9" w:rsidRPr="00921AC9" w:rsidRDefault="00921AC9" w:rsidP="00921AC9">
            <w:pPr>
              <w:spacing w:after="0" w:line="460" w:lineRule="atLeast"/>
              <w:outlineLvl w:val="2"/>
              <w:rPr>
                <w:rFonts w:eastAsia="Times New Roman" w:cs="Times New Roman"/>
                <w:b/>
                <w:bCs/>
                <w:sz w:val="27"/>
                <w:szCs w:val="27"/>
              </w:rPr>
            </w:pPr>
            <w:r w:rsidRPr="00921AC9">
              <w:rPr>
                <w:rFonts w:eastAsia="Times New Roman" w:cs="Times New Roman"/>
                <w:b/>
                <w:bCs/>
                <w:sz w:val="24"/>
                <w:szCs w:val="24"/>
                <w:u w:val="single"/>
              </w:rPr>
              <w:t>Nơi nhận:</w:t>
            </w:r>
          </w:p>
          <w:p w:rsidR="00921AC9" w:rsidRPr="00921AC9" w:rsidRDefault="00921AC9" w:rsidP="00921AC9">
            <w:pPr>
              <w:spacing w:after="0" w:line="240" w:lineRule="auto"/>
              <w:rPr>
                <w:rFonts w:eastAsia="Times New Roman" w:cs="Times New Roman"/>
                <w:sz w:val="24"/>
                <w:szCs w:val="24"/>
              </w:rPr>
            </w:pPr>
            <w:r w:rsidRPr="00921AC9">
              <w:rPr>
                <w:rFonts w:eastAsia="Times New Roman" w:cs="Times New Roman"/>
                <w:sz w:val="24"/>
                <w:szCs w:val="24"/>
              </w:rPr>
              <w:t>- Thường trực Ban Bí thư (để báo cáo);</w:t>
            </w:r>
          </w:p>
          <w:p w:rsidR="00921AC9" w:rsidRPr="00921AC9" w:rsidRDefault="00921AC9" w:rsidP="00921AC9">
            <w:pPr>
              <w:spacing w:after="0" w:line="240" w:lineRule="auto"/>
              <w:rPr>
                <w:rFonts w:eastAsia="Times New Roman" w:cs="Times New Roman"/>
                <w:sz w:val="24"/>
                <w:szCs w:val="24"/>
              </w:rPr>
            </w:pPr>
            <w:r w:rsidRPr="00921AC9">
              <w:rPr>
                <w:rFonts w:eastAsia="Times New Roman" w:cs="Times New Roman"/>
                <w:sz w:val="24"/>
                <w:szCs w:val="24"/>
              </w:rPr>
              <w:t>- Đ/c Phạm Minh Chính, Trưởng Ban (để b/c);</w:t>
            </w:r>
          </w:p>
          <w:p w:rsidR="00921AC9" w:rsidRPr="00921AC9" w:rsidRDefault="00921AC9" w:rsidP="00921AC9">
            <w:pPr>
              <w:spacing w:after="0" w:line="240" w:lineRule="auto"/>
              <w:rPr>
                <w:rFonts w:eastAsia="Times New Roman" w:cs="Times New Roman"/>
                <w:sz w:val="24"/>
                <w:szCs w:val="24"/>
              </w:rPr>
            </w:pPr>
            <w:r w:rsidRPr="00921AC9">
              <w:rPr>
                <w:rFonts w:eastAsia="Times New Roman" w:cs="Times New Roman"/>
                <w:sz w:val="24"/>
                <w:szCs w:val="24"/>
              </w:rPr>
              <w:t>- Lãnh đạo Ban TGTW; Bộ TTTT; Hội NBVN; Báo Nhân Dân; Tạp chí Cộng sản; Đài Truyền hình VN (để phối hợp); </w:t>
            </w:r>
            <w:r w:rsidRPr="00921AC9">
              <w:rPr>
                <w:rFonts w:eastAsia="Times New Roman" w:cs="Times New Roman"/>
                <w:sz w:val="24"/>
                <w:szCs w:val="24"/>
              </w:rPr>
              <w:br/>
              <w:t>- Các tỉnh ủy, thành ủy, đảng ủy, đảng đoàn, ban cán sự đảng trực thuộc TW;</w:t>
            </w:r>
          </w:p>
          <w:p w:rsidR="00921AC9" w:rsidRPr="00921AC9" w:rsidRDefault="00921AC9" w:rsidP="00921AC9">
            <w:pPr>
              <w:spacing w:after="0" w:line="240" w:lineRule="auto"/>
              <w:rPr>
                <w:rFonts w:eastAsia="Times New Roman" w:cs="Times New Roman"/>
                <w:sz w:val="24"/>
                <w:szCs w:val="24"/>
              </w:rPr>
            </w:pPr>
            <w:r w:rsidRPr="00921AC9">
              <w:rPr>
                <w:rFonts w:eastAsia="Times New Roman" w:cs="Times New Roman"/>
                <w:sz w:val="24"/>
                <w:szCs w:val="24"/>
              </w:rPr>
              <w:t>- Các cơ quan báo chí;</w:t>
            </w:r>
          </w:p>
          <w:p w:rsidR="00921AC9" w:rsidRPr="00117F1A" w:rsidRDefault="00921AC9" w:rsidP="00921AC9">
            <w:pPr>
              <w:spacing w:after="0" w:line="240" w:lineRule="auto"/>
              <w:outlineLvl w:val="1"/>
              <w:rPr>
                <w:rFonts w:eastAsia="Times New Roman" w:cs="Times New Roman"/>
                <w:bCs/>
                <w:sz w:val="36"/>
                <w:szCs w:val="36"/>
              </w:rPr>
            </w:pPr>
            <w:r w:rsidRPr="00117F1A">
              <w:rPr>
                <w:rFonts w:eastAsia="Times New Roman" w:cs="Times New Roman"/>
                <w:bCs/>
                <w:sz w:val="24"/>
                <w:szCs w:val="24"/>
              </w:rPr>
              <w:t>- Lưu VP, TC XDĐ.</w:t>
            </w:r>
          </w:p>
        </w:tc>
        <w:tc>
          <w:tcPr>
            <w:tcW w:w="705" w:type="dxa"/>
            <w:tcMar>
              <w:top w:w="0" w:type="dxa"/>
              <w:left w:w="108" w:type="dxa"/>
              <w:bottom w:w="0" w:type="dxa"/>
              <w:right w:w="108" w:type="dxa"/>
            </w:tcMar>
            <w:hideMark/>
          </w:tcPr>
          <w:p w:rsidR="00921AC9" w:rsidRPr="00921AC9" w:rsidRDefault="00921AC9" w:rsidP="00921AC9">
            <w:pPr>
              <w:spacing w:before="100" w:beforeAutospacing="1" w:after="100" w:afterAutospacing="1" w:line="460" w:lineRule="atLeast"/>
              <w:outlineLvl w:val="1"/>
              <w:rPr>
                <w:rFonts w:eastAsia="Times New Roman" w:cs="Times New Roman"/>
                <w:b/>
                <w:bCs/>
                <w:sz w:val="36"/>
                <w:szCs w:val="36"/>
              </w:rPr>
            </w:pPr>
            <w:r w:rsidRPr="00921AC9">
              <w:rPr>
                <w:rFonts w:eastAsia="Times New Roman" w:cs="Times New Roman"/>
                <w:b/>
                <w:bCs/>
                <w:sz w:val="36"/>
                <w:szCs w:val="36"/>
              </w:rPr>
              <w:t> </w:t>
            </w:r>
          </w:p>
        </w:tc>
        <w:tc>
          <w:tcPr>
            <w:tcW w:w="3219" w:type="dxa"/>
            <w:tcMar>
              <w:top w:w="0" w:type="dxa"/>
              <w:left w:w="108" w:type="dxa"/>
              <w:bottom w:w="0" w:type="dxa"/>
              <w:right w:w="108" w:type="dxa"/>
            </w:tcMar>
            <w:hideMark/>
          </w:tcPr>
          <w:p w:rsidR="00921AC9" w:rsidRPr="00921AC9" w:rsidRDefault="00921AC9" w:rsidP="00921AC9">
            <w:pPr>
              <w:spacing w:after="0" w:line="240" w:lineRule="auto"/>
              <w:outlineLvl w:val="1"/>
              <w:rPr>
                <w:rFonts w:eastAsia="Times New Roman" w:cs="Times New Roman"/>
                <w:b/>
                <w:bCs/>
                <w:sz w:val="36"/>
                <w:szCs w:val="36"/>
              </w:rPr>
            </w:pPr>
            <w:r w:rsidRPr="00921AC9">
              <w:rPr>
                <w:rFonts w:eastAsia="Times New Roman" w:cs="Times New Roman"/>
                <w:b/>
                <w:bCs/>
                <w:sz w:val="24"/>
                <w:szCs w:val="24"/>
              </w:rPr>
              <w:t>          K/T TRƯỞNG BAN</w:t>
            </w:r>
          </w:p>
          <w:p w:rsidR="00921AC9" w:rsidRPr="00921AC9" w:rsidRDefault="00921AC9" w:rsidP="00921AC9">
            <w:pPr>
              <w:spacing w:after="0" w:line="240" w:lineRule="auto"/>
              <w:jc w:val="center"/>
              <w:rPr>
                <w:rFonts w:eastAsia="Times New Roman" w:cs="Times New Roman"/>
                <w:sz w:val="24"/>
                <w:szCs w:val="24"/>
              </w:rPr>
            </w:pPr>
            <w:r>
              <w:rPr>
                <w:rFonts w:eastAsia="Times New Roman" w:cs="Times New Roman"/>
                <w:sz w:val="24"/>
                <w:szCs w:val="24"/>
              </w:rPr>
              <w:t xml:space="preserve">     </w:t>
            </w:r>
            <w:r w:rsidRPr="00921AC9">
              <w:rPr>
                <w:rFonts w:eastAsia="Times New Roman" w:cs="Times New Roman"/>
                <w:sz w:val="24"/>
                <w:szCs w:val="24"/>
              </w:rPr>
              <w:t>PHÓ TRƯỞNG BAN</w:t>
            </w:r>
          </w:p>
          <w:p w:rsidR="00921AC9" w:rsidRPr="00921AC9" w:rsidRDefault="00921AC9" w:rsidP="00921AC9">
            <w:pPr>
              <w:spacing w:before="100" w:beforeAutospacing="1" w:after="100" w:afterAutospacing="1" w:line="460" w:lineRule="atLeast"/>
              <w:outlineLvl w:val="1"/>
              <w:rPr>
                <w:rFonts w:eastAsia="Times New Roman" w:cs="Times New Roman"/>
                <w:b/>
                <w:bCs/>
                <w:sz w:val="36"/>
                <w:szCs w:val="36"/>
              </w:rPr>
            </w:pPr>
            <w:r w:rsidRPr="00921AC9">
              <w:rPr>
                <w:rFonts w:eastAsia="Times New Roman" w:cs="Times New Roman"/>
                <w:b/>
                <w:bCs/>
                <w:sz w:val="24"/>
                <w:szCs w:val="24"/>
              </w:rPr>
              <w:t> </w:t>
            </w:r>
          </w:p>
          <w:p w:rsidR="00921AC9" w:rsidRPr="00921AC9" w:rsidRDefault="00921AC9" w:rsidP="00921AC9">
            <w:pPr>
              <w:spacing w:before="100" w:beforeAutospacing="1" w:after="100" w:afterAutospacing="1" w:line="460" w:lineRule="atLeast"/>
              <w:jc w:val="center"/>
              <w:rPr>
                <w:rFonts w:eastAsia="Times New Roman" w:cs="Times New Roman"/>
                <w:sz w:val="24"/>
                <w:szCs w:val="24"/>
              </w:rPr>
            </w:pPr>
            <w:r w:rsidRPr="00921AC9">
              <w:rPr>
                <w:rFonts w:eastAsia="Times New Roman" w:cs="Times New Roman"/>
                <w:i/>
                <w:iCs/>
                <w:sz w:val="24"/>
                <w:szCs w:val="24"/>
              </w:rPr>
              <w:t>(Đã ký)</w:t>
            </w:r>
          </w:p>
          <w:p w:rsidR="00921AC9" w:rsidRPr="00921AC9" w:rsidRDefault="00921AC9" w:rsidP="00921AC9">
            <w:pPr>
              <w:spacing w:before="100" w:beforeAutospacing="1" w:after="100" w:afterAutospacing="1" w:line="460" w:lineRule="atLeast"/>
              <w:jc w:val="center"/>
              <w:rPr>
                <w:rFonts w:eastAsia="Times New Roman" w:cs="Times New Roman"/>
                <w:sz w:val="24"/>
                <w:szCs w:val="24"/>
              </w:rPr>
            </w:pPr>
            <w:r w:rsidRPr="00921AC9">
              <w:rPr>
                <w:rFonts w:eastAsia="Times New Roman" w:cs="Times New Roman"/>
                <w:sz w:val="24"/>
                <w:szCs w:val="24"/>
              </w:rPr>
              <w:t> </w:t>
            </w:r>
          </w:p>
          <w:p w:rsidR="00921AC9" w:rsidRPr="00921AC9" w:rsidRDefault="00921AC9" w:rsidP="00921AC9">
            <w:pPr>
              <w:spacing w:before="100" w:beforeAutospacing="1" w:after="100" w:afterAutospacing="1" w:line="460" w:lineRule="atLeast"/>
              <w:jc w:val="center"/>
              <w:rPr>
                <w:rFonts w:eastAsia="Times New Roman" w:cs="Times New Roman"/>
                <w:sz w:val="24"/>
                <w:szCs w:val="24"/>
              </w:rPr>
            </w:pPr>
            <w:r w:rsidRPr="00921AC9">
              <w:rPr>
                <w:rFonts w:eastAsia="Times New Roman" w:cs="Times New Roman"/>
                <w:b/>
                <w:bCs/>
                <w:sz w:val="24"/>
                <w:szCs w:val="24"/>
              </w:rPr>
              <w:t>Mai Văn Chính</w:t>
            </w:r>
          </w:p>
        </w:tc>
        <w:tc>
          <w:tcPr>
            <w:tcW w:w="284" w:type="dxa"/>
            <w:tcBorders>
              <w:top w:val="nil"/>
              <w:left w:val="nil"/>
              <w:bottom w:val="nil"/>
              <w:right w:val="nil"/>
            </w:tcBorders>
            <w:vAlign w:val="center"/>
            <w:hideMark/>
          </w:tcPr>
          <w:p w:rsidR="00921AC9" w:rsidRPr="00921AC9" w:rsidRDefault="00921AC9" w:rsidP="00921AC9">
            <w:pPr>
              <w:spacing w:before="100" w:beforeAutospacing="1" w:after="100" w:afterAutospacing="1" w:line="240" w:lineRule="auto"/>
              <w:rPr>
                <w:rFonts w:eastAsia="Times New Roman" w:cs="Times New Roman"/>
                <w:sz w:val="24"/>
                <w:szCs w:val="24"/>
              </w:rPr>
            </w:pPr>
            <w:r w:rsidRPr="00921AC9">
              <w:rPr>
                <w:rFonts w:eastAsia="Times New Roman" w:cs="Times New Roman"/>
                <w:sz w:val="24"/>
                <w:szCs w:val="24"/>
              </w:rPr>
              <w:t> </w:t>
            </w:r>
          </w:p>
        </w:tc>
      </w:tr>
      <w:tr w:rsidR="00921AC9" w:rsidRPr="00921AC9" w:rsidTr="00921AC9">
        <w:trPr>
          <w:trHeight w:val="830"/>
        </w:trPr>
        <w:tc>
          <w:tcPr>
            <w:tcW w:w="5745" w:type="dxa"/>
            <w:gridSpan w:val="3"/>
            <w:tcMar>
              <w:top w:w="0" w:type="dxa"/>
              <w:left w:w="108" w:type="dxa"/>
              <w:bottom w:w="0" w:type="dxa"/>
              <w:right w:w="108" w:type="dxa"/>
            </w:tcMar>
            <w:hideMark/>
          </w:tcPr>
          <w:p w:rsidR="00921AC9" w:rsidRPr="00921AC9" w:rsidRDefault="00921AC9" w:rsidP="00921AC9">
            <w:pPr>
              <w:spacing w:before="100" w:beforeAutospacing="1" w:after="100" w:afterAutospacing="1" w:line="280" w:lineRule="atLeast"/>
              <w:rPr>
                <w:rFonts w:eastAsia="Times New Roman" w:cs="Times New Roman"/>
                <w:sz w:val="24"/>
                <w:szCs w:val="24"/>
              </w:rPr>
            </w:pPr>
            <w:r w:rsidRPr="00921AC9">
              <w:rPr>
                <w:rFonts w:eastAsia="Times New Roman" w:cs="Times New Roman"/>
                <w:sz w:val="24"/>
                <w:szCs w:val="24"/>
              </w:rPr>
              <w:t> </w:t>
            </w:r>
          </w:p>
        </w:tc>
        <w:tc>
          <w:tcPr>
            <w:tcW w:w="3503" w:type="dxa"/>
            <w:gridSpan w:val="2"/>
            <w:tcMar>
              <w:top w:w="0" w:type="dxa"/>
              <w:left w:w="108" w:type="dxa"/>
              <w:bottom w:w="0" w:type="dxa"/>
              <w:right w:w="108" w:type="dxa"/>
            </w:tcMar>
            <w:hideMark/>
          </w:tcPr>
          <w:p w:rsidR="00921AC9" w:rsidRPr="00921AC9" w:rsidRDefault="00921AC9" w:rsidP="00921AC9">
            <w:pPr>
              <w:spacing w:before="100" w:beforeAutospacing="1" w:after="100" w:afterAutospacing="1" w:line="360" w:lineRule="atLeast"/>
              <w:ind w:firstLine="720"/>
              <w:jc w:val="center"/>
              <w:rPr>
                <w:rFonts w:eastAsia="Times New Roman" w:cs="Times New Roman"/>
                <w:sz w:val="24"/>
                <w:szCs w:val="24"/>
              </w:rPr>
            </w:pPr>
            <w:r w:rsidRPr="00921AC9">
              <w:rPr>
                <w:rFonts w:eastAsia="Times New Roman" w:cs="Times New Roman"/>
                <w:b/>
                <w:bCs/>
                <w:sz w:val="24"/>
                <w:szCs w:val="24"/>
              </w:rPr>
              <w:t> </w:t>
            </w:r>
          </w:p>
        </w:tc>
      </w:tr>
      <w:tr w:rsidR="00921AC9" w:rsidRPr="00921AC9" w:rsidTr="00921AC9">
        <w:tc>
          <w:tcPr>
            <w:tcW w:w="60" w:type="dxa"/>
            <w:tcBorders>
              <w:top w:val="nil"/>
              <w:left w:val="nil"/>
              <w:bottom w:val="nil"/>
              <w:right w:val="nil"/>
            </w:tcBorders>
            <w:vAlign w:val="center"/>
            <w:hideMark/>
          </w:tcPr>
          <w:p w:rsidR="00921AC9" w:rsidRPr="00921AC9" w:rsidRDefault="00921AC9" w:rsidP="00921AC9">
            <w:pPr>
              <w:spacing w:after="0" w:line="240" w:lineRule="auto"/>
              <w:rPr>
                <w:rFonts w:eastAsia="Times New Roman" w:cs="Times New Roman"/>
                <w:sz w:val="1"/>
                <w:szCs w:val="24"/>
              </w:rPr>
            </w:pPr>
          </w:p>
        </w:tc>
        <w:tc>
          <w:tcPr>
            <w:tcW w:w="4980" w:type="dxa"/>
            <w:tcBorders>
              <w:top w:val="nil"/>
              <w:left w:val="nil"/>
              <w:bottom w:val="nil"/>
              <w:right w:val="nil"/>
            </w:tcBorders>
            <w:vAlign w:val="center"/>
            <w:hideMark/>
          </w:tcPr>
          <w:p w:rsidR="00921AC9" w:rsidRPr="00921AC9" w:rsidRDefault="00921AC9" w:rsidP="00921AC9">
            <w:pPr>
              <w:spacing w:after="0" w:line="240" w:lineRule="auto"/>
              <w:rPr>
                <w:rFonts w:eastAsia="Times New Roman" w:cs="Times New Roman"/>
                <w:sz w:val="1"/>
                <w:szCs w:val="24"/>
              </w:rPr>
            </w:pPr>
          </w:p>
        </w:tc>
        <w:tc>
          <w:tcPr>
            <w:tcW w:w="705" w:type="dxa"/>
            <w:tcBorders>
              <w:top w:val="nil"/>
              <w:left w:val="nil"/>
              <w:bottom w:val="nil"/>
              <w:right w:val="nil"/>
            </w:tcBorders>
            <w:vAlign w:val="center"/>
            <w:hideMark/>
          </w:tcPr>
          <w:p w:rsidR="00921AC9" w:rsidRPr="00921AC9" w:rsidRDefault="00921AC9" w:rsidP="00921AC9">
            <w:pPr>
              <w:spacing w:after="0" w:line="240" w:lineRule="auto"/>
              <w:rPr>
                <w:rFonts w:eastAsia="Times New Roman" w:cs="Times New Roman"/>
                <w:sz w:val="1"/>
                <w:szCs w:val="24"/>
              </w:rPr>
            </w:pPr>
          </w:p>
        </w:tc>
        <w:tc>
          <w:tcPr>
            <w:tcW w:w="3219" w:type="dxa"/>
            <w:tcBorders>
              <w:top w:val="nil"/>
              <w:left w:val="nil"/>
              <w:bottom w:val="nil"/>
              <w:right w:val="nil"/>
            </w:tcBorders>
            <w:vAlign w:val="center"/>
            <w:hideMark/>
          </w:tcPr>
          <w:p w:rsidR="00921AC9" w:rsidRPr="00921AC9" w:rsidRDefault="00921AC9" w:rsidP="00921AC9">
            <w:pPr>
              <w:spacing w:after="0" w:line="240" w:lineRule="auto"/>
              <w:rPr>
                <w:rFonts w:eastAsia="Times New Roman" w:cs="Times New Roman"/>
                <w:sz w:val="1"/>
                <w:szCs w:val="24"/>
              </w:rPr>
            </w:pPr>
          </w:p>
        </w:tc>
        <w:tc>
          <w:tcPr>
            <w:tcW w:w="284" w:type="dxa"/>
            <w:tcBorders>
              <w:top w:val="nil"/>
              <w:left w:val="nil"/>
              <w:bottom w:val="nil"/>
              <w:right w:val="nil"/>
            </w:tcBorders>
            <w:vAlign w:val="center"/>
            <w:hideMark/>
          </w:tcPr>
          <w:p w:rsidR="00921AC9" w:rsidRPr="00921AC9" w:rsidRDefault="00921AC9" w:rsidP="00921AC9">
            <w:pPr>
              <w:spacing w:after="0" w:line="240" w:lineRule="auto"/>
              <w:rPr>
                <w:rFonts w:eastAsia="Times New Roman" w:cs="Times New Roman"/>
                <w:sz w:val="1"/>
                <w:szCs w:val="24"/>
              </w:rPr>
            </w:pPr>
          </w:p>
        </w:tc>
      </w:tr>
    </w:tbl>
    <w:p w:rsidR="00921AC9" w:rsidRPr="00921AC9" w:rsidRDefault="00921AC9" w:rsidP="00921AC9">
      <w:pPr>
        <w:spacing w:before="120" w:after="120" w:line="360" w:lineRule="atLeast"/>
        <w:jc w:val="both"/>
        <w:rPr>
          <w:rFonts w:ascii="Arial" w:eastAsia="Times New Roman" w:hAnsi="Arial" w:cs="Arial"/>
          <w:color w:val="111111"/>
          <w:sz w:val="15"/>
          <w:szCs w:val="15"/>
        </w:rPr>
      </w:pPr>
      <w:r w:rsidRPr="00921AC9">
        <w:rPr>
          <w:rFonts w:ascii="Arial" w:eastAsia="Times New Roman" w:hAnsi="Arial" w:cs="Arial"/>
          <w:color w:val="000711"/>
          <w:sz w:val="15"/>
          <w:szCs w:val="15"/>
        </w:rPr>
        <w:t> </w:t>
      </w:r>
    </w:p>
    <w:p w:rsidR="00187443" w:rsidRDefault="00187443"/>
    <w:sectPr w:rsidR="00187443" w:rsidSect="005D4376">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921AC9"/>
    <w:rsid w:val="00117F1A"/>
    <w:rsid w:val="00187443"/>
    <w:rsid w:val="005D4376"/>
    <w:rsid w:val="00921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43"/>
  </w:style>
  <w:style w:type="paragraph" w:styleId="Heading2">
    <w:name w:val="heading 2"/>
    <w:basedOn w:val="Normal"/>
    <w:link w:val="Heading2Char"/>
    <w:uiPriority w:val="9"/>
    <w:qFormat/>
    <w:rsid w:val="00921AC9"/>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21AC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1AC9"/>
    <w:rPr>
      <w:rFonts w:eastAsia="Times New Roman" w:cs="Times New Roman"/>
      <w:b/>
      <w:bCs/>
      <w:sz w:val="36"/>
      <w:szCs w:val="36"/>
    </w:rPr>
  </w:style>
  <w:style w:type="character" w:customStyle="1" w:styleId="Heading3Char">
    <w:name w:val="Heading 3 Char"/>
    <w:basedOn w:val="DefaultParagraphFont"/>
    <w:link w:val="Heading3"/>
    <w:uiPriority w:val="9"/>
    <w:rsid w:val="00921AC9"/>
    <w:rPr>
      <w:rFonts w:eastAsia="Times New Roman" w:cs="Times New Roman"/>
      <w:b/>
      <w:bCs/>
      <w:sz w:val="27"/>
      <w:szCs w:val="27"/>
    </w:rPr>
  </w:style>
  <w:style w:type="paragraph" w:styleId="NormalWeb">
    <w:name w:val="Normal (Web)"/>
    <w:basedOn w:val="Normal"/>
    <w:uiPriority w:val="99"/>
    <w:unhideWhenUsed/>
    <w:rsid w:val="00921AC9"/>
    <w:pPr>
      <w:spacing w:before="100" w:beforeAutospacing="1" w:after="100" w:afterAutospacing="1" w:line="240" w:lineRule="auto"/>
    </w:pPr>
    <w:rPr>
      <w:rFonts w:eastAsia="Times New Roman" w:cs="Times New Roman"/>
      <w:sz w:val="24"/>
      <w:szCs w:val="24"/>
    </w:rPr>
  </w:style>
  <w:style w:type="paragraph" w:customStyle="1" w:styleId="normalweb1">
    <w:name w:val="normalweb1"/>
    <w:basedOn w:val="Normal"/>
    <w:rsid w:val="00921AC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21AC9"/>
    <w:rPr>
      <w:color w:val="0000FF"/>
      <w:u w:val="single"/>
    </w:rPr>
  </w:style>
  <w:style w:type="character" w:styleId="Strong">
    <w:name w:val="Strong"/>
    <w:basedOn w:val="DefaultParagraphFont"/>
    <w:uiPriority w:val="22"/>
    <w:qFormat/>
    <w:rsid w:val="00921AC9"/>
    <w:rPr>
      <w:b/>
      <w:bCs/>
    </w:rPr>
  </w:style>
  <w:style w:type="paragraph" w:styleId="BalloonText">
    <w:name w:val="Balloon Text"/>
    <w:basedOn w:val="Normal"/>
    <w:link w:val="BalloonTextChar"/>
    <w:uiPriority w:val="99"/>
    <w:semiHidden/>
    <w:unhideWhenUsed/>
    <w:rsid w:val="0092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764225">
      <w:bodyDiv w:val="1"/>
      <w:marLeft w:val="0"/>
      <w:marRight w:val="0"/>
      <w:marTop w:val="0"/>
      <w:marBottom w:val="0"/>
      <w:divBdr>
        <w:top w:val="none" w:sz="0" w:space="0" w:color="auto"/>
        <w:left w:val="none" w:sz="0" w:space="0" w:color="auto"/>
        <w:bottom w:val="none" w:sz="0" w:space="0" w:color="auto"/>
        <w:right w:val="none" w:sz="0" w:space="0" w:color="auto"/>
      </w:divBdr>
      <w:divsChild>
        <w:div w:id="1651591428">
          <w:marLeft w:val="0"/>
          <w:marRight w:val="0"/>
          <w:marTop w:val="0"/>
          <w:marBottom w:val="0"/>
          <w:divBdr>
            <w:top w:val="none" w:sz="0" w:space="0" w:color="auto"/>
            <w:left w:val="none" w:sz="0" w:space="0" w:color="auto"/>
            <w:bottom w:val="none" w:sz="0" w:space="0" w:color="auto"/>
            <w:right w:val="none" w:sz="0" w:space="0" w:color="auto"/>
          </w:divBdr>
          <w:divsChild>
            <w:div w:id="37512979">
              <w:marLeft w:val="0"/>
              <w:marRight w:val="0"/>
              <w:marTop w:val="0"/>
              <w:marBottom w:val="0"/>
              <w:divBdr>
                <w:top w:val="none" w:sz="0" w:space="0" w:color="auto"/>
                <w:left w:val="none" w:sz="0" w:space="0" w:color="auto"/>
                <w:bottom w:val="none" w:sz="0" w:space="0" w:color="auto"/>
                <w:right w:val="none" w:sz="0" w:space="0" w:color="auto"/>
              </w:divBdr>
            </w:div>
            <w:div w:id="1862166233">
              <w:marLeft w:val="0"/>
              <w:marRight w:val="0"/>
              <w:marTop w:val="0"/>
              <w:marBottom w:val="0"/>
              <w:divBdr>
                <w:top w:val="none" w:sz="0" w:space="0" w:color="auto"/>
                <w:left w:val="none" w:sz="0" w:space="0" w:color="auto"/>
                <w:bottom w:val="none" w:sz="0" w:space="0" w:color="auto"/>
                <w:right w:val="none" w:sz="0" w:space="0" w:color="auto"/>
              </w:divBdr>
            </w:div>
            <w:div w:id="697705090">
              <w:marLeft w:val="0"/>
              <w:marRight w:val="0"/>
              <w:marTop w:val="0"/>
              <w:marBottom w:val="0"/>
              <w:divBdr>
                <w:top w:val="none" w:sz="0" w:space="0" w:color="auto"/>
                <w:left w:val="none" w:sz="0" w:space="0" w:color="auto"/>
                <w:bottom w:val="none" w:sz="0" w:space="0" w:color="auto"/>
                <w:right w:val="none" w:sz="0" w:space="0" w:color="auto"/>
              </w:divBdr>
            </w:div>
            <w:div w:id="1503743453">
              <w:marLeft w:val="0"/>
              <w:marRight w:val="0"/>
              <w:marTop w:val="0"/>
              <w:marBottom w:val="0"/>
              <w:divBdr>
                <w:top w:val="none" w:sz="0" w:space="0" w:color="auto"/>
                <w:left w:val="none" w:sz="0" w:space="0" w:color="auto"/>
                <w:bottom w:val="none" w:sz="0" w:space="0" w:color="auto"/>
                <w:right w:val="none" w:sz="0" w:space="0" w:color="auto"/>
              </w:divBdr>
            </w:div>
            <w:div w:id="796024572">
              <w:marLeft w:val="0"/>
              <w:marRight w:val="0"/>
              <w:marTop w:val="0"/>
              <w:marBottom w:val="0"/>
              <w:divBdr>
                <w:top w:val="none" w:sz="0" w:space="0" w:color="auto"/>
                <w:left w:val="none" w:sz="0" w:space="0" w:color="auto"/>
                <w:bottom w:val="none" w:sz="0" w:space="0" w:color="auto"/>
                <w:right w:val="none" w:sz="0" w:space="0" w:color="auto"/>
              </w:divBdr>
            </w:div>
            <w:div w:id="148718643">
              <w:marLeft w:val="0"/>
              <w:marRight w:val="0"/>
              <w:marTop w:val="0"/>
              <w:marBottom w:val="0"/>
              <w:divBdr>
                <w:top w:val="none" w:sz="0" w:space="0" w:color="auto"/>
                <w:left w:val="none" w:sz="0" w:space="0" w:color="auto"/>
                <w:bottom w:val="none" w:sz="0" w:space="0" w:color="auto"/>
                <w:right w:val="none" w:sz="0" w:space="0" w:color="auto"/>
              </w:divBdr>
            </w:div>
            <w:div w:id="118181897">
              <w:marLeft w:val="0"/>
              <w:marRight w:val="0"/>
              <w:marTop w:val="0"/>
              <w:marBottom w:val="0"/>
              <w:divBdr>
                <w:top w:val="none" w:sz="0" w:space="0" w:color="auto"/>
                <w:left w:val="none" w:sz="0" w:space="0" w:color="auto"/>
                <w:bottom w:val="none" w:sz="0" w:space="0" w:color="auto"/>
                <w:right w:val="none" w:sz="0" w:space="0" w:color="auto"/>
              </w:divBdr>
            </w:div>
            <w:div w:id="2090420272">
              <w:marLeft w:val="0"/>
              <w:marRight w:val="0"/>
              <w:marTop w:val="0"/>
              <w:marBottom w:val="0"/>
              <w:divBdr>
                <w:top w:val="none" w:sz="0" w:space="0" w:color="auto"/>
                <w:left w:val="none" w:sz="0" w:space="0" w:color="auto"/>
                <w:bottom w:val="none" w:sz="0" w:space="0" w:color="auto"/>
                <w:right w:val="none" w:sz="0" w:space="0" w:color="auto"/>
              </w:divBdr>
            </w:div>
            <w:div w:id="23141625">
              <w:marLeft w:val="0"/>
              <w:marRight w:val="0"/>
              <w:marTop w:val="0"/>
              <w:marBottom w:val="0"/>
              <w:divBdr>
                <w:top w:val="none" w:sz="0" w:space="0" w:color="auto"/>
                <w:left w:val="none" w:sz="0" w:space="0" w:color="auto"/>
                <w:bottom w:val="none" w:sz="0" w:space="0" w:color="auto"/>
                <w:right w:val="none" w:sz="0" w:space="0" w:color="auto"/>
              </w:divBdr>
            </w:div>
            <w:div w:id="447699074">
              <w:marLeft w:val="0"/>
              <w:marRight w:val="0"/>
              <w:marTop w:val="0"/>
              <w:marBottom w:val="0"/>
              <w:divBdr>
                <w:top w:val="none" w:sz="0" w:space="0" w:color="auto"/>
                <w:left w:val="none" w:sz="0" w:space="0" w:color="auto"/>
                <w:bottom w:val="none" w:sz="0" w:space="0" w:color="auto"/>
                <w:right w:val="none" w:sz="0" w:space="0" w:color="auto"/>
              </w:divBdr>
            </w:div>
            <w:div w:id="155266501">
              <w:marLeft w:val="0"/>
              <w:marRight w:val="0"/>
              <w:marTop w:val="0"/>
              <w:marBottom w:val="0"/>
              <w:divBdr>
                <w:top w:val="none" w:sz="0" w:space="0" w:color="auto"/>
                <w:left w:val="none" w:sz="0" w:space="0" w:color="auto"/>
                <w:bottom w:val="none" w:sz="0" w:space="0" w:color="auto"/>
                <w:right w:val="none" w:sz="0" w:space="0" w:color="auto"/>
              </w:divBdr>
            </w:div>
            <w:div w:id="1770656245">
              <w:marLeft w:val="0"/>
              <w:marRight w:val="0"/>
              <w:marTop w:val="0"/>
              <w:marBottom w:val="0"/>
              <w:divBdr>
                <w:top w:val="none" w:sz="0" w:space="0" w:color="auto"/>
                <w:left w:val="none" w:sz="0" w:space="0" w:color="auto"/>
                <w:bottom w:val="none" w:sz="0" w:space="0" w:color="auto"/>
                <w:right w:val="none" w:sz="0" w:space="0" w:color="auto"/>
              </w:divBdr>
            </w:div>
            <w:div w:id="1616862240">
              <w:marLeft w:val="0"/>
              <w:marRight w:val="0"/>
              <w:marTop w:val="0"/>
              <w:marBottom w:val="0"/>
              <w:divBdr>
                <w:top w:val="none" w:sz="0" w:space="0" w:color="auto"/>
                <w:left w:val="none" w:sz="0" w:space="0" w:color="auto"/>
                <w:bottom w:val="none" w:sz="0" w:space="0" w:color="auto"/>
                <w:right w:val="none" w:sz="0" w:space="0" w:color="auto"/>
              </w:divBdr>
            </w:div>
          </w:divsChild>
        </w:div>
        <w:div w:id="528106555">
          <w:marLeft w:val="0"/>
          <w:marRight w:val="0"/>
          <w:marTop w:val="0"/>
          <w:marBottom w:val="0"/>
          <w:divBdr>
            <w:top w:val="none" w:sz="0" w:space="0" w:color="auto"/>
            <w:left w:val="none" w:sz="0" w:space="0" w:color="auto"/>
            <w:bottom w:val="none" w:sz="0" w:space="0" w:color="auto"/>
            <w:right w:val="none" w:sz="0" w:space="0" w:color="auto"/>
          </w:divBdr>
          <w:divsChild>
            <w:div w:id="1437366848">
              <w:marLeft w:val="0"/>
              <w:marRight w:val="0"/>
              <w:marTop w:val="0"/>
              <w:marBottom w:val="0"/>
              <w:divBdr>
                <w:top w:val="single" w:sz="4" w:space="0" w:color="D3DCE5"/>
                <w:left w:val="single" w:sz="4" w:space="0" w:color="D3DCE5"/>
                <w:bottom w:val="single" w:sz="4" w:space="0" w:color="D3DCE5"/>
                <w:right w:val="single" w:sz="4" w:space="0" w:color="D3DCE5"/>
              </w:divBdr>
              <w:divsChild>
                <w:div w:id="1180244245">
                  <w:marLeft w:val="0"/>
                  <w:marRight w:val="0"/>
                  <w:marTop w:val="0"/>
                  <w:marBottom w:val="0"/>
                  <w:divBdr>
                    <w:top w:val="none" w:sz="0" w:space="0" w:color="auto"/>
                    <w:left w:val="none" w:sz="0" w:space="0" w:color="auto"/>
                    <w:bottom w:val="none" w:sz="0" w:space="0" w:color="auto"/>
                    <w:right w:val="none" w:sz="0" w:space="0" w:color="auto"/>
                  </w:divBdr>
                </w:div>
                <w:div w:id="421606029">
                  <w:marLeft w:val="0"/>
                  <w:marRight w:val="0"/>
                  <w:marTop w:val="0"/>
                  <w:marBottom w:val="0"/>
                  <w:divBdr>
                    <w:top w:val="none" w:sz="0" w:space="0" w:color="auto"/>
                    <w:left w:val="none" w:sz="0" w:space="0" w:color="auto"/>
                    <w:bottom w:val="none" w:sz="0" w:space="0" w:color="auto"/>
                    <w:right w:val="none" w:sz="0" w:space="0" w:color="auto"/>
                  </w:divBdr>
                  <w:divsChild>
                    <w:div w:id="1562447527">
                      <w:marLeft w:val="0"/>
                      <w:marRight w:val="0"/>
                      <w:marTop w:val="0"/>
                      <w:marBottom w:val="0"/>
                      <w:divBdr>
                        <w:top w:val="none" w:sz="0" w:space="0" w:color="auto"/>
                        <w:left w:val="none" w:sz="0" w:space="0" w:color="auto"/>
                        <w:bottom w:val="none" w:sz="0" w:space="0" w:color="auto"/>
                        <w:right w:val="none" w:sz="0" w:space="0" w:color="auto"/>
                      </w:divBdr>
                    </w:div>
                    <w:div w:id="403917289">
                      <w:marLeft w:val="0"/>
                      <w:marRight w:val="0"/>
                      <w:marTop w:val="0"/>
                      <w:marBottom w:val="0"/>
                      <w:divBdr>
                        <w:top w:val="none" w:sz="0" w:space="0" w:color="auto"/>
                        <w:left w:val="none" w:sz="0" w:space="0" w:color="auto"/>
                        <w:bottom w:val="none" w:sz="0" w:space="0" w:color="auto"/>
                        <w:right w:val="none" w:sz="0" w:space="0" w:color="auto"/>
                      </w:divBdr>
                      <w:divsChild>
                        <w:div w:id="672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97501">
              <w:marLeft w:val="0"/>
              <w:marRight w:val="0"/>
              <w:marTop w:val="0"/>
              <w:marBottom w:val="0"/>
              <w:divBdr>
                <w:top w:val="single" w:sz="4" w:space="0" w:color="D3DCE5"/>
                <w:left w:val="single" w:sz="4" w:space="0" w:color="D3DCE5"/>
                <w:bottom w:val="single" w:sz="4" w:space="0" w:color="D3DCE5"/>
                <w:right w:val="single" w:sz="4" w:space="0" w:color="D3DCE5"/>
              </w:divBdr>
              <w:divsChild>
                <w:div w:id="449470476">
                  <w:marLeft w:val="0"/>
                  <w:marRight w:val="0"/>
                  <w:marTop w:val="0"/>
                  <w:marBottom w:val="0"/>
                  <w:divBdr>
                    <w:top w:val="none" w:sz="0" w:space="0" w:color="auto"/>
                    <w:left w:val="none" w:sz="0" w:space="0" w:color="auto"/>
                    <w:bottom w:val="none" w:sz="0" w:space="0" w:color="auto"/>
                    <w:right w:val="none" w:sz="0" w:space="0" w:color="auto"/>
                  </w:divBdr>
                </w:div>
              </w:divsChild>
            </w:div>
            <w:div w:id="1205142032">
              <w:marLeft w:val="0"/>
              <w:marRight w:val="0"/>
              <w:marTop w:val="0"/>
              <w:marBottom w:val="0"/>
              <w:divBdr>
                <w:top w:val="single" w:sz="4" w:space="0" w:color="D3DCE5"/>
                <w:left w:val="single" w:sz="4" w:space="0" w:color="D3DCE5"/>
                <w:bottom w:val="single" w:sz="4" w:space="0" w:color="D3DCE5"/>
                <w:right w:val="single" w:sz="4" w:space="0" w:color="D3DCE5"/>
              </w:divBdr>
              <w:divsChild>
                <w:div w:id="807894170">
                  <w:marLeft w:val="0"/>
                  <w:marRight w:val="0"/>
                  <w:marTop w:val="0"/>
                  <w:marBottom w:val="0"/>
                  <w:divBdr>
                    <w:top w:val="none" w:sz="0" w:space="0" w:color="auto"/>
                    <w:left w:val="none" w:sz="0" w:space="0" w:color="auto"/>
                    <w:bottom w:val="none" w:sz="0" w:space="0" w:color="auto"/>
                    <w:right w:val="none" w:sz="0" w:space="0" w:color="auto"/>
                  </w:divBdr>
                </w:div>
              </w:divsChild>
            </w:div>
            <w:div w:id="459347287">
              <w:marLeft w:val="0"/>
              <w:marRight w:val="0"/>
              <w:marTop w:val="0"/>
              <w:marBottom w:val="0"/>
              <w:divBdr>
                <w:top w:val="none" w:sz="0" w:space="0" w:color="auto"/>
                <w:left w:val="none" w:sz="0" w:space="0" w:color="auto"/>
                <w:bottom w:val="none" w:sz="0" w:space="0" w:color="auto"/>
                <w:right w:val="none" w:sz="0" w:space="0" w:color="auto"/>
              </w:divBdr>
            </w:div>
            <w:div w:id="762796259">
              <w:marLeft w:val="0"/>
              <w:marRight w:val="0"/>
              <w:marTop w:val="0"/>
              <w:marBottom w:val="0"/>
              <w:divBdr>
                <w:top w:val="single" w:sz="4" w:space="0" w:color="D3DCE5"/>
                <w:left w:val="single" w:sz="4" w:space="0" w:color="D3DCE5"/>
                <w:bottom w:val="single" w:sz="4" w:space="0" w:color="D3DCE5"/>
                <w:right w:val="single" w:sz="4" w:space="0" w:color="D3DCE5"/>
              </w:divBdr>
              <w:divsChild>
                <w:div w:id="9936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1256">
          <w:marLeft w:val="0"/>
          <w:marRight w:val="0"/>
          <w:marTop w:val="0"/>
          <w:marBottom w:val="0"/>
          <w:divBdr>
            <w:top w:val="none" w:sz="0" w:space="0" w:color="auto"/>
            <w:left w:val="none" w:sz="0" w:space="0" w:color="auto"/>
            <w:bottom w:val="none" w:sz="0" w:space="0" w:color="auto"/>
            <w:right w:val="none" w:sz="0" w:space="0" w:color="auto"/>
          </w:divBdr>
          <w:divsChild>
            <w:div w:id="4468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14409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GhostimeBTT</dc:creator>
  <cp:lastModifiedBy>GhostimeBTT</cp:lastModifiedBy>
  <cp:revision>1</cp:revision>
  <dcterms:created xsi:type="dcterms:W3CDTF">2018-09-07T06:33:00Z</dcterms:created>
  <dcterms:modified xsi:type="dcterms:W3CDTF">2018-09-07T06:47:00Z</dcterms:modified>
</cp:coreProperties>
</file>